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0D88" w14:textId="77777777" w:rsidR="00637D0E" w:rsidRDefault="00637D0E" w:rsidP="00637D0E">
      <w:pPr>
        <w:spacing w:after="0"/>
        <w:ind w:hanging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B3DACA" wp14:editId="27DD7B55">
            <wp:simplePos x="0" y="0"/>
            <wp:positionH relativeFrom="column">
              <wp:posOffset>-522510</wp:posOffset>
            </wp:positionH>
            <wp:positionV relativeFrom="paragraph">
              <wp:posOffset>-227168</wp:posOffset>
            </wp:positionV>
            <wp:extent cx="1511260" cy="1042549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60" cy="104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1D946" w14:textId="77777777" w:rsidR="00637D0E" w:rsidRPr="00B42081" w:rsidRDefault="00637D0E" w:rsidP="00637D0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420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Ставропольская краевая организация </w:t>
      </w:r>
    </w:p>
    <w:p w14:paraId="6269151D" w14:textId="77777777" w:rsidR="00637D0E" w:rsidRPr="00B42081" w:rsidRDefault="00637D0E" w:rsidP="00637D0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4208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Общероссийского Профсоюза образования</w:t>
      </w:r>
    </w:p>
    <w:p w14:paraId="745BECB2" w14:textId="77777777" w:rsidR="00637D0E" w:rsidRPr="00B42081" w:rsidRDefault="00637D0E" w:rsidP="00637D0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5946FD7" w14:textId="77777777" w:rsidR="00637D0E" w:rsidRDefault="00637D0E" w:rsidP="00637D0E">
      <w:pPr>
        <w:spacing w:after="0"/>
        <w:jc w:val="both"/>
        <w:rPr>
          <w:rFonts w:ascii="Times New Roman" w:eastAsia="Calibri" w:hAnsi="Times New Roman" w:cs="Times New Roman"/>
          <w:b/>
          <w:color w:val="003399"/>
          <w:sz w:val="28"/>
          <w:szCs w:val="28"/>
        </w:rPr>
      </w:pPr>
    </w:p>
    <w:p w14:paraId="2A93324B" w14:textId="77777777" w:rsidR="00637D0E" w:rsidRPr="00B42081" w:rsidRDefault="00637D0E" w:rsidP="00637D0E">
      <w:pPr>
        <w:spacing w:after="0"/>
        <w:jc w:val="both"/>
        <w:rPr>
          <w:rFonts w:ascii="Times New Roman" w:eastAsia="Calibri" w:hAnsi="Times New Roman" w:cs="Times New Roman"/>
          <w:b/>
          <w:color w:val="00339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3399"/>
          <w:sz w:val="28"/>
          <w:szCs w:val="28"/>
        </w:rPr>
        <w:t xml:space="preserve">               </w:t>
      </w:r>
      <w:r w:rsidRPr="00B42081">
        <w:rPr>
          <w:rFonts w:ascii="Times New Roman" w:eastAsia="Calibri" w:hAnsi="Times New Roman" w:cs="Times New Roman"/>
          <w:b/>
          <w:color w:val="003399"/>
          <w:sz w:val="28"/>
          <w:szCs w:val="28"/>
        </w:rPr>
        <w:t xml:space="preserve">Извлечение из Информационно-аналитических материалов (к </w:t>
      </w:r>
    </w:p>
    <w:p w14:paraId="6BFD4102" w14:textId="77777777" w:rsidR="00637D0E" w:rsidRPr="00B42081" w:rsidRDefault="00637D0E" w:rsidP="00637D0E">
      <w:pPr>
        <w:pStyle w:val="a3"/>
        <w:ind w:left="0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B42081">
        <w:rPr>
          <w:rFonts w:ascii="Times New Roman" w:hAnsi="Times New Roman" w:cs="Times New Roman"/>
          <w:b/>
          <w:bCs/>
          <w:color w:val="003399"/>
          <w:sz w:val="28"/>
          <w:szCs w:val="28"/>
        </w:rPr>
        <w:t>августовским педагогическим совещаниям 2022 год</w:t>
      </w:r>
      <w:r>
        <w:rPr>
          <w:rFonts w:ascii="Times New Roman" w:hAnsi="Times New Roman" w:cs="Times New Roman"/>
          <w:b/>
          <w:bCs/>
          <w:color w:val="003399"/>
          <w:sz w:val="28"/>
          <w:szCs w:val="28"/>
        </w:rPr>
        <w:t>а</w:t>
      </w:r>
      <w:r w:rsidRPr="00B42081">
        <w:rPr>
          <w:rFonts w:ascii="Times New Roman" w:hAnsi="Times New Roman" w:cs="Times New Roman"/>
          <w:b/>
          <w:bCs/>
          <w:color w:val="003399"/>
          <w:sz w:val="28"/>
          <w:szCs w:val="28"/>
        </w:rPr>
        <w:t>), подготовленных Центральным Советом Общероссийского Профсоюза образования.</w:t>
      </w:r>
    </w:p>
    <w:p w14:paraId="67D939BA" w14:textId="4DB914A6" w:rsidR="008876D6" w:rsidRDefault="008876D6"/>
    <w:p w14:paraId="5C670978" w14:textId="27847723" w:rsidR="00870F78" w:rsidRPr="00993398" w:rsidRDefault="00870F78" w:rsidP="00870F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t xml:space="preserve">                    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О некоторых результатах проведенного Общероссийским Профсоюзом образования экспресс-опроса по изучению практики реализации мер по внедрению в субъектах Российской Федерации системы (целевой модели) наставничества педагогических работников в образовательных организациях общего, среднего профессионального, дополнительного образования детей</w:t>
      </w:r>
    </w:p>
    <w:p w14:paraId="77E3354B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06798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Напоминаем, что совместным письмом </w:t>
      </w:r>
      <w:proofErr w:type="spellStart"/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>Минпросвещения</w:t>
      </w:r>
      <w:proofErr w:type="spellEnd"/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России и </w:t>
      </w:r>
      <w:r w:rsidRPr="00993398">
        <w:rPr>
          <w:rFonts w:ascii="Times New Roman" w:eastAsia="Calibri" w:hAnsi="Times New Roman" w:cs="Times New Roman"/>
          <w:sz w:val="28"/>
          <w:szCs w:val="28"/>
        </w:rPr>
        <w:t>Общероссийского Профсоюза образования от 21.12.2021 г. № АЗ-1128/08/657 в адрес руководителей органов исполнительной власти субъектов Российской Федерации, осуществляющих государственное управление в сфере образования, председателей региональных (межрегиональных) организаций Профсоюза были направлены 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организациях, разработанные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 пунктом 33 распоряжения Правительства Российской Федерации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«Образование». </w:t>
      </w:r>
    </w:p>
    <w:p w14:paraId="73131B0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ключевых направлений создания </w:t>
      </w:r>
      <w:r w:rsidRPr="00993398">
        <w:rPr>
          <w:rFonts w:ascii="Times New Roman" w:eastAsia="Calibri" w:hAnsi="Times New Roman" w:cs="Times New Roman"/>
          <w:sz w:val="28"/>
          <w:szCs w:val="28"/>
        </w:rPr>
        <w:t>системы (целевой модели) наставничества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</w:t>
      </w:r>
      <w:r w:rsidRPr="00993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наставничества педагогических кадров, которое может стать эффективным инструментом профессионального роста педагогических работников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общего, среднего профессионального и дополнительного образования.</w:t>
      </w:r>
    </w:p>
    <w:p w14:paraId="3F015342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b/>
          <w:i/>
          <w:sz w:val="28"/>
          <w:szCs w:val="28"/>
        </w:rPr>
        <w:t>Предложенный срок внедрения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системы наставничества педагогических работников в образовательных организациях Российской Федерации – конец 2022 года.</w:t>
      </w:r>
    </w:p>
    <w:p w14:paraId="30E3D1EF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Система (целевая модель) наставничества педагогических работников </w:t>
      </w: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в образовательных организациях общего, среднего профессионального и дополнительного образования предназначена, в первую очередь, для органов исполнительной власти, осуществляющих государственное управление </w:t>
      </w: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в сфере образования, с тем, чтобы обобщить и встроить существующие </w:t>
      </w: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на региональном и муниципальном уровне практики наставнической деятельности в единую федеральную систему научно-методического сопровождения педагогических работников и управленческих кадров, разработанную на федеральном уровне, а также оказать практическую помощь в нормотворческой деятельности с учетом региональной специфики и потребностей конкретных образовательных организаций, скоординировать развитие практик наставничества с установлением новой квалификационной категории «педагог-наставник».</w:t>
      </w:r>
    </w:p>
    <w:p w14:paraId="2EF99830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В целях изучения практики реализации мер по внедрению в субъектах Российской Федерации системы (целевой модели) наставничества педагогических работников в образовательных организациях общего, среднего профессионального, дополнительного образования детей Общероссийским Профсоюзом образования проведен экспресс-опрос 16 региональных (межрегиональных) организаций Профсоюза, представляющих 17</w:t>
      </w:r>
      <w:r w:rsidRPr="0099339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субъектов (Письмо Профсоюза от 30.06.2022 г. № 359 за подписью заместителя Председателя Профсоюза </w:t>
      </w:r>
      <w:proofErr w:type="spellStart"/>
      <w:r w:rsidRPr="00993398">
        <w:rPr>
          <w:rFonts w:ascii="Times New Roman" w:eastAsia="Calibri" w:hAnsi="Times New Roman" w:cs="Times New Roman"/>
          <w:sz w:val="28"/>
          <w:szCs w:val="28"/>
        </w:rPr>
        <w:t>М.В.Авдеенко</w:t>
      </w:r>
      <w:proofErr w:type="spellEnd"/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38504586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Результаты проведенного экспресс-опроса по информации, представленной из 16 региональных</w:t>
      </w:r>
      <w:r w:rsidRPr="009933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(межрегиональных) организаций Профсоюза, в подготовке которой принимали участие члены Правового совета при ЦС Профсоюза, показали следующее. </w:t>
      </w:r>
    </w:p>
    <w:p w14:paraId="7A880895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а региональном уровне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органами исполнительной власти, осуществляющими государственное управление в сфере образования,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во взаимодействии с другими институциональными структурами, участвующими в управлении процессом внедрения и реализации системы наставничества (ИПКРО, ЦНППМ ПР, ИРО и др.),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разработаны и приняты нормативно-правовые акты, регулирующие правоотношения в сфере наставничества</w:t>
      </w:r>
      <w:r w:rsidRPr="00993398">
        <w:rPr>
          <w:rFonts w:ascii="Times New Roman" w:eastAsia="Calibri" w:hAnsi="Times New Roman" w:cs="Times New Roman"/>
          <w:sz w:val="28"/>
          <w:szCs w:val="28"/>
        </w:rPr>
        <w:t>, состав которых различается по субъектам РФ. В частности:</w:t>
      </w:r>
    </w:p>
    <w:p w14:paraId="4FBE3357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нормативно-правовые акты об утверждении/реализации целевой модели наставничества приняты на региональном уровне в 7 субъектах Российской Федерации (Республика Алтай, Краснодарский, Красноярский, Ставропольский края, Брянская, Псковская, Челябинская области);</w:t>
      </w:r>
    </w:p>
    <w:p w14:paraId="4EC46A25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положения (типовые, примерные) о системе наставничества – в 10 субъектах Российской Федерации (Республика Алтай, Алтайский, Краснодарский, Ставропольский края, Архангельская, Брянская, Кировская, Псковская, Тамбовская области, г. Москва);</w:t>
      </w:r>
    </w:p>
    <w:p w14:paraId="6028E99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дорожные карты (планы по сопровождению внедрения системы наставничества) приняты (либо предусмотрена разработка) в 7 субъектах Российской Федерации (Краснодарский, Ставропольский края, Архангельская, Брянская, Кировская, </w:t>
      </w:r>
      <w:proofErr w:type="gramStart"/>
      <w:r w:rsidRPr="00993398">
        <w:rPr>
          <w:rFonts w:ascii="Times New Roman" w:eastAsia="Calibri" w:hAnsi="Times New Roman" w:cs="Times New Roman"/>
          <w:sz w:val="28"/>
          <w:szCs w:val="28"/>
        </w:rPr>
        <w:t>Саратовская ,</w:t>
      </w:r>
      <w:proofErr w:type="gramEnd"/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Челябинская области, г. Москва);</w:t>
      </w:r>
    </w:p>
    <w:p w14:paraId="1C96A2D2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методические рекомендации по разработке и внедрению системы наставничества – в 3-х субъектах Российской Федерации (Краснодарский край, Ленинградская, Челябинская области);</w:t>
      </w:r>
    </w:p>
    <w:p w14:paraId="59F11F0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меры по внедрению в субъектах Российской Федерации системы (целевой модели) наставничества педагогических работников, являющиеся составной частью государственных (региональных) программ: «Развитие образования в Санкт-Петербурге» – в г. Санкт-Петербурге, «Развитие образования на 2018-2025 годы» – в Челябинской области; «Преодоление дефицита квалифицированных педагогических кадров в системе образования на 2021-2025 годы» – в Саратовской области; </w:t>
      </w:r>
    </w:p>
    <w:p w14:paraId="123FB64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Start w:id="0" w:name="_Hlk109636558"/>
      <w:r w:rsidRPr="00993398">
        <w:rPr>
          <w:rFonts w:ascii="Times New Roman" w:eastAsia="Calibri" w:hAnsi="Times New Roman" w:cs="Times New Roman"/>
          <w:sz w:val="28"/>
          <w:szCs w:val="28"/>
        </w:rPr>
        <w:t>нормативно-правовые акты об утверждении пилотных образовательных организаций по внедрению и реализации системы наставничества – в 2 субъектах Российской Федерации (Брянская, Челябинская области);</w:t>
      </w:r>
    </w:p>
    <w:bookmarkEnd w:id="0"/>
    <w:p w14:paraId="31412CEB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нормативно-правовые акты о создании региональной рабочей группы по вопросам реализации целевой модели наставничества – в 1 субъекте Российской Федерации (Краснодарский край).</w:t>
      </w:r>
    </w:p>
    <w:p w14:paraId="2C650CC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В Смоленской области нормативно-правовая база по внедрению системы (целевой модели) наставничества на региональном и муниципальном уровнях отсутствует.</w:t>
      </w:r>
    </w:p>
    <w:p w14:paraId="3BA76311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2) Анализ принятых в субъектах Российской Федерации мер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материального (денежного)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тимулирования реализации системы (целевой модели) наставничества, являющейся одной из трех составляющих стимулирования наставнической деятельности и предполагающей возможность образовательным организациям </w:t>
      </w:r>
      <w:r w:rsidRPr="00993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коллективными договорами, соглашениями, локальными нормативными актами в соответствии </w:t>
      </w:r>
      <w:r w:rsidRPr="0099339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федеральными законами и иными нормативными правовыми актами Российской Федерации, в том числе регионального уровня,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определять размеры выплат компенсационного характера, установленные работнику за реализацию наставнической деятельности, </w:t>
      </w:r>
      <w:r w:rsidRPr="00993398">
        <w:rPr>
          <w:rFonts w:ascii="Times New Roman" w:eastAsia="Calibri" w:hAnsi="Times New Roman" w:cs="Times New Roman"/>
          <w:sz w:val="28"/>
          <w:szCs w:val="28"/>
          <w:lang w:eastAsia="ru-RU"/>
        </w:rPr>
        <w:t>показал следующее.</w:t>
      </w:r>
    </w:p>
    <w:p w14:paraId="1F904EEE" w14:textId="77777777" w:rsidR="00870F78" w:rsidRPr="00993398" w:rsidRDefault="00870F78" w:rsidP="00870F7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4 субъектах Российской Федерации (Чеченская Республика, Алтайский, Ставропольский края, Псковская область) такие меры прописаны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положениях об оплате труда.</w:t>
      </w:r>
    </w:p>
    <w:p w14:paraId="7E30CC6F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Так, например,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в Ставропольском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Положении об оплате труда работников государственных казенных учреждений и в Примерном положении об оплате труда работников государственных бюджетных и автономных учреждений, подведомственных министерству образования Ставропольского края, закреплена стимулирующая выплата за наставничество педагогических работников в размере 50 % ставки заработной платы (должностного оклада), но не более 5000 рублей. </w:t>
      </w:r>
    </w:p>
    <w:p w14:paraId="311FC592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В Алтайском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Примерное положение об оплате труда работников муниципальных общеобразовательных организаций всех типов, разработанное Минобрнауки Алтайского края совместно с Алтайской краевой организацией Общероссийского Профсоюза образования и направленное в муниципалитеты совместным письмом, вводит доплату за наставничество, размер которой определяется локальными актами образовательной организации. Аналогичную норму содержит и статья 11 Закона Алтайского </w:t>
      </w: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края № 404 от 24.03.2022 г.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«О статусе педагогического работника в Алтайском крае».</w:t>
      </w:r>
    </w:p>
    <w:p w14:paraId="2AEB46A2" w14:textId="77777777" w:rsidR="00870F78" w:rsidRPr="00993398" w:rsidRDefault="00870F78" w:rsidP="00870F7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3 субъектах Российской Федерации (Республика Алтай, Краснодарский, Красноярский края) определены Рекомендации работодателям по установлению выплаты за наставническую деятельность в региональных отраслевых соглашениях. </w:t>
      </w:r>
    </w:p>
    <w:p w14:paraId="1F019177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Так, в Красноярском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t xml:space="preserve">3.2.3. </w:t>
      </w:r>
      <w:r w:rsidRPr="0099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Отраслевого соглашения </w:t>
      </w:r>
      <w:r w:rsidRPr="0099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учреждениям, находящимся в ведении Министерства образования Красноярского края или в отношении которых Министерство образования Красноярского края осуществляет функции и полномочия учредителя, </w:t>
      </w:r>
      <w:r w:rsidRPr="0099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2022 - 2024 годы (подписано в г. Красноярске 23.12.2021 г.) </w:t>
      </w:r>
      <w:bookmarkStart w:id="1" w:name="_Hlk109668340"/>
      <w:r w:rsidRPr="00993398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предусмотрено, что «в рамках внедрения Региональной целевой модели наставничества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для организаций, осуществляющих образовательную деятельность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общеобразовательным, дополнительным общеобразовательным программам и программам среднего профессионального образования,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территории Красноярского края </w:t>
      </w:r>
      <w:r w:rsidRPr="0099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Региональная целевая модель)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утвержденной Приказом Министерства от 30.11.2020 г. № 590-11-05, Министерство обязуется способствовать материальному стимулированию деятельности наставников в образовательных организациях». Вместе с тем,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настоящее время на уровне региона компенсационная выплата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за выполнение педагогическими работниками дополнительной работы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>по наставничеству не установлена.</w:t>
      </w:r>
    </w:p>
    <w:p w14:paraId="1A364931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Республике Алтай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региональном отраслевом соглашении закреплена рекомендация работодателям устанавливать наставникам доплату в размере и порядке, определяемом коллективными договорами;</w:t>
      </w:r>
    </w:p>
    <w:bookmarkEnd w:id="1"/>
    <w:p w14:paraId="2FA290C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В Краснодарском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Отраслевом соглашении по организациям, находящимся в ведении Министерства образования, науки и молодежной политики Краснодарского края, на 2022-2024 годы, стороны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пришли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соглашению о целесообразности предусматривать в коллективном договоре организации выплаты стимулирующего характера наставникам молодых специалистов в размере не менее 10 % от оклада, ставки заработной платы.</w:t>
      </w:r>
    </w:p>
    <w:p w14:paraId="0A99E490" w14:textId="77777777" w:rsidR="00870F78" w:rsidRPr="00993398" w:rsidRDefault="00870F78" w:rsidP="00870F7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Большинство субъектов Российской Федерации, участников экспресс-опроса проинформировали о том, что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на локальном уровне разрабатываются и утверждаются локальные нормативные</w:t>
      </w:r>
      <w:bookmarkStart w:id="2" w:name="_Hlk109656535"/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акты образовательных организаций, которыми устанавливаются выплаты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за выполнение педагогическими работниками дополнительной работы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по наставничеству</w:t>
      </w:r>
      <w:bookmarkEnd w:id="2"/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CE224DB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качестве наиболее распространенных документов, устанавливающих доплаты за наставничество на локальном уровне в ряде муниципальных образований и в отдельных образовательных организациях на территории соответствующих субъектов Российской Федерации указываются: </w:t>
      </w:r>
    </w:p>
    <w:p w14:paraId="1AACB669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коллективные договоры образовательных организаций – в 8 субъектах Российской Федерации (Чеченская Республика, Краснодарский, Ставропольский края, Ленинградская, Псковская, Саратовская области, города Москва, Санкт-Петербург); </w:t>
      </w:r>
    </w:p>
    <w:p w14:paraId="6EDE8D3E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макеты коллективных договоров, разработанные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Саратовской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региональной организацией Профсоюза и межрегиональной организацией Профсоюза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г. Санкт-Петербурга и Ленинградской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, предусматривающие положения о наставничестве и активно применяющиеся образовательными организациями; </w:t>
      </w:r>
    </w:p>
    <w:p w14:paraId="6ADD7F1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положения об оплате труда работников образовательных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организаций – в 5 субъектах Российской Федерации (Алтайский, Ставропольский края, Архангельская, Псковская, Тамбовская области);</w:t>
      </w:r>
    </w:p>
    <w:p w14:paraId="4E611056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положения о материальном стимулировании работников образовательной организации, на которых возложены дополнительные обязанности по наставничеству – в 3 субъектах Российской Федерации (Архангельская, Смоленская, Псковская области);</w:t>
      </w:r>
    </w:p>
    <w:p w14:paraId="7CBC86A2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положения о наставничестве – в 5 субъектах Российской Федерации (Республика Алтай, Алтайский край, Архангельская, Псковская области,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г. Москва);</w:t>
      </w:r>
    </w:p>
    <w:p w14:paraId="6785FB6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приказы о закреплении наставнических пар/групп с согласия их участников о возложении на конкретных педагогических работников образовательной организации дополнительных обязанностей, связанных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с наставнической деятельностью – в 5 субъектах Российской Федерации (Республика Алтай, Краснодарский, Ставропольский край, Архангельская, Псковская области);</w:t>
      </w:r>
    </w:p>
    <w:p w14:paraId="1A0B40C5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дополнительное соглашение к трудовому договору с педагогическим работником – в 3 субъектах Российской Федерации (Ставропольский край, Архангельская, Тамбовская области); </w:t>
      </w:r>
    </w:p>
    <w:p w14:paraId="3CC0739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правила внутреннего трудового распорядка – в 1 субъекте Российской Федерации (Архангельская область).</w:t>
      </w:r>
    </w:p>
    <w:p w14:paraId="3E1E961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Размер устанавливаемых выплат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работникам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за осуществление наставнической деятельности и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нормативно-правовое регулирование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их установления и применения даже в пределах одного субъекта Российской Федерации различаются как по отдельным муниципальным образованиям, так и по образовательным организациям.</w:t>
      </w:r>
    </w:p>
    <w:p w14:paraId="3671837E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Как правило, размер выплат устанавливается локальными нормативными актами образовательных организаций, рассчитывается образовательными организациями самостоятельно либо в абсолютном размере, либо в процентах к ставке заработной платы (должностному окладу), либо в баллах за определенные виды деятельности, а выплата за выполнение работы по наставничеству может быть отнесена как к выплатам компенсационного, так и к выплатам стимулирующего характера.</w:t>
      </w:r>
    </w:p>
    <w:p w14:paraId="3BCE520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Например, в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Смоленской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, размер выплат варьируется от 500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до 3000 рублей в месяц за наставничество (относится к компенсационным выплатам). </w:t>
      </w:r>
    </w:p>
    <w:p w14:paraId="752D23B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В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Тамбовской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размер доплат устанавливается локальным нормативным актом образовательной организации в пределах средств, направляемых на оплату труда.</w:t>
      </w:r>
    </w:p>
    <w:p w14:paraId="5FC1040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г. Москве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размер выплат устанавливается индивидуально на период осуществления наставничества и варьируется от 3000 до 15000 рублей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месяц. Производятся также выплаты премии за методическую и воспитательную работу с молодыми специалистами, поощрения по итогам работы за год в размере 30-50 тысяч рублей.</w:t>
      </w:r>
    </w:p>
    <w:p w14:paraId="0AC3FF1F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Архангельской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разных муниципальных образованиях размер выплаты устанавливается в размере до 10-20% от должностного оклада и может относиться либо к выплатам стимулирующего характера, либо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к выплатам компенсационного характера. В части муниципальных образований выплата не предусмотрена либо ее установление планируется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в предстоящем учебном году. </w:t>
      </w:r>
    </w:p>
    <w:p w14:paraId="1C1F10CB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Псковской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размер выплаты варьируется в зависимости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от частоты и характера наставнической деятельности;</w:t>
      </w:r>
    </w:p>
    <w:p w14:paraId="6ED40EF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Чеченской Республике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выплата составляет 10% от ставки заработной платы (должностного оклада).</w:t>
      </w:r>
    </w:p>
    <w:p w14:paraId="584FF88B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Ставропольском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ряде муниципальных образовательных организаций предусмотрено установление компенсационной выплаты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в размере 20 % от ставки заработной платы (около 2000 рублей) либо стимулирующей выплаты в размере 10-20 % от ставки заработной платы, при этом в региональных положениях об оплате труда работников государственных казенных учреждений и государственных бюджетных и автономных учреждений, подведомственных министерству образования Ставропольского края, закреплена стимулирующая выплата за наставничество педагогических работников в размере 50 % ставки заработной платы (должностного оклада), но не более 5000 рублей. </w:t>
      </w:r>
    </w:p>
    <w:p w14:paraId="0EFED76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Саратовской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сторонами социального партнерства при заключении трехсторонних соглашений, действующих на муниципальном уровне, устанавливаются доплаты стимулирующего или компенсационного характера наставникам в размере 4-8% от должностного оклада, а также доплаты после присвоения звания «Лучший наставник молодежи» в первые три года в размере 5-8% от должностного оклада. В образовательных организациях области установлены в соответствии с коллективными договорами и другими локальными нормативными актами доплаты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за наставническую деятельность с молодыми специалистами (дополнительные стимулирующие баллы по портфолио за наставничество-3-5 баллов).</w:t>
      </w:r>
    </w:p>
    <w:p w14:paraId="619B056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По информации из Алтайского края, Кировской и Челябинской областей,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выплаты за наставничество устанавливаются локальными нормативными актами образовательных организаций без обозначения примерных размеров выплат, в частности, в Алтайском крае положениями и приказами об оплате труда в образовательной организации устанавливаются ежемесячные стимулирующие выплаты за наставничество на основе Примерного положения об оплате труда работников муниципальных организаций; в каждой организации Челябинской области, реализующей модель наставничества, определен свой размер и порядок выплат.</w:t>
      </w:r>
    </w:p>
    <w:p w14:paraId="132C1379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Краснодарском крае,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Отраслевым соглашением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по организациям, находящимся в ведении Министерства образования, науки и молодежной политики Краснодарского края, на 2022-2024 годы,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коллективными договорами образовательных организаций устанавливаются выплаты стимулирующего характера в размере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не менее 10% от </w:t>
      </w:r>
      <w:bookmarkStart w:id="3" w:name="_Hlk109665026"/>
      <w:r w:rsidRPr="00993398">
        <w:rPr>
          <w:rFonts w:ascii="Times New Roman" w:eastAsia="Calibri" w:hAnsi="Times New Roman" w:cs="Times New Roman"/>
          <w:sz w:val="28"/>
          <w:szCs w:val="28"/>
        </w:rPr>
        <w:t>ставки заработной платы (должностного оклада).</w:t>
      </w:r>
      <w:bookmarkEnd w:id="3"/>
    </w:p>
    <w:p w14:paraId="1CF3B98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Республике Алтай и Красноярском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региональные отраслевые соглашения содержат рекомендации по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материальному стимулированию деятельности наставников в образовательных организациях. Однако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локальном уровне данные рекомендации фактически не реализуются. </w:t>
      </w:r>
    </w:p>
    <w:p w14:paraId="4D20A50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3398">
        <w:rPr>
          <w:rFonts w:ascii="Times New Roman" w:eastAsia="Calibri" w:hAnsi="Times New Roman" w:cs="Times New Roman"/>
          <w:bCs/>
          <w:sz w:val="28"/>
          <w:szCs w:val="28"/>
        </w:rPr>
        <w:t xml:space="preserve">Так, в </w:t>
      </w:r>
      <w:r w:rsidRPr="0099339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Республике Алтай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t xml:space="preserve"> выборочный 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t xml:space="preserve">анализ </w:t>
      </w:r>
      <w:r w:rsidRPr="00993398">
        <w:rPr>
          <w:rFonts w:ascii="Times New Roman" w:eastAsia="Calibri" w:hAnsi="Times New Roman" w:cs="Times New Roman"/>
          <w:sz w:val="28"/>
          <w:szCs w:val="28"/>
        </w:rPr>
        <w:t>локальных нормативных актов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t xml:space="preserve">, регулирующих реализацию целевой модели наставничества, и коллективных договоров образовательных организаций показал, что только 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одной из 5-ти образовательных организаций в положении о наставничестве закреплено право наставника на ежемесячную доплату, размер которой не прописан. </w:t>
      </w:r>
    </w:p>
    <w:p w14:paraId="7868514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398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sz w:val="28"/>
          <w:szCs w:val="28"/>
        </w:rPr>
        <w:t>Красноярском крае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на региональном и муниципальном уровне не предусмотрено установление выплат компенсационного характера за осуществление наставнической деятельности, соответственно не предусмотрено это и в локальных нормативных актах образовательных организаций, поэтому данные выплаты могут осуществляться только из фонда стимулирования.</w:t>
      </w:r>
    </w:p>
    <w:p w14:paraId="550369D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г. Санкт-Петербурге и Ленинградской области 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t xml:space="preserve">выплаты 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br/>
        <w:t>за выполнение дополнительной работы по наставничеству не производятся.</w:t>
      </w:r>
    </w:p>
    <w:p w14:paraId="7F00FF00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3) Анализ принятых в субъектах Российской Федерации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нематериальных мер стимулирования наставнической деятельности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социальных и моральных),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предполагающих мероприятия, направленные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на повышение общественного статуса наставников, показал, что такие меры действуют во всех субъектах Российской Федерации, принявших участие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экспресс-опросе, в том числе на локальном уровне. К наиболее распространенным из них относятся:</w:t>
      </w:r>
      <w:r w:rsidRPr="00993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4439A49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награждение ведомственными наградами, почетными грамотами, знаками отличия, объявление благодарности (Республика Алтай, Алтайский, Красноярский, Ставропольский края, Архангельская, Кировская, Псковская, Смоленская, Саратовская, Челябинская области, г. Москва и др.); </w:t>
      </w:r>
    </w:p>
    <w:p w14:paraId="1082C2F5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привлечение наставников к участию в образовательных программах, семинарах, тренингах, круглых столах, фестивалях, форумах, конференциях, вебинарах наставников, встречах с выпускниками ВУЗов и других образовательных событиях как в роли слушателей, так и спикеров (Республика Алтай, Краснодарский Красноярский края, Архангельская, Псковская, Саратовская, Тамбовская, Челябинская области и др.); </w:t>
      </w:r>
    </w:p>
    <w:p w14:paraId="037DDBB8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организация клубов, ассоциаций наставников (Краснодарский край, Саратовская область и др.);</w:t>
      </w:r>
    </w:p>
    <w:p w14:paraId="0E62C37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приглашение к участию в формировании предложений, касающихся планов развития образовательной организации (Красноярский край, Архангельская область); </w:t>
      </w:r>
    </w:p>
    <w:p w14:paraId="7DF25B3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включение в кадровый резерв в порядке должностного роста, в резерв управленческих кадров (Архангельская, Псковская области, г. Москва);</w:t>
      </w:r>
    </w:p>
    <w:p w14:paraId="55A32247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оплата платных курсов повышения квалификации; предоставление права внепланового прохождения курсов повышения квалификации; обучение в рамках образовательных программ, выбранных участниками наставнической деятельности, показавшими высокие результаты (Архангельская, Челябинская области, г. Москва);</w:t>
      </w:r>
    </w:p>
    <w:p w14:paraId="6E66E60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учет результатов наставнической деятельности при аттестации педагогических работников, в том числе при прохождении аттестации на ту же квалификационную категорию по упрощенной процедуре (Архангельская, Саратовская области);</w:t>
      </w:r>
    </w:p>
    <w:p w14:paraId="7C931AB1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поощрение наставников по результатам участия в региональных конкурсах «Лучшая управленческая практика наставничества по форме «учитель-учитель»», «Наставник в сфере образования» и других (Республика Алтай, Краснодарский край, Архангельская, Брянская, Кировская, Саратовская, Тамбовская области и др.);</w:t>
      </w:r>
    </w:p>
    <w:p w14:paraId="3273E03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популяризация опыта работы наставников, в том числе, размещение информации (например, фото, документов о поощрении, документов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о достижениях наставляемых и другое) в социальных сетях,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на информационных стендах, досках почета; публикации в журналах, альманахах; представление опыта работы на различных методических мероприятиях, в том числе педагогических чтениях; размещение опыта работы на сайтах Информационных ресурсных центров для использования педагогами других образовательных организаций; создание методических копилок с программами наставничества на сайтах образовательных организаций (Республика Алтай, Красноярский, Ставропольский края, Архангельская, Псковская, Саратовская, Челябинская области, г. Москва и др.);</w:t>
      </w:r>
    </w:p>
    <w:p w14:paraId="226DE88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популяризация деятельности наставничества в рамках занятий профсоюзных кружков и районных</w:t>
      </w:r>
      <w:r w:rsidRPr="009933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</w:rPr>
        <w:t>школ профсоюзного актива (ШПА) (Чеченская Республика);</w:t>
      </w:r>
    </w:p>
    <w:p w14:paraId="6D7DC27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предоставление дополнительных дней отдыха на основании локальных нормативных актов (Архангельская область в ряде муниципальных образований);</w:t>
      </w:r>
    </w:p>
    <w:p w14:paraId="0C99C651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вручение ценных подарков, поощрения досугового характера (билеты в театр, экскурсии и др.), поощрение наставников со стороны первичной профсоюзной организации (г. Москва);</w:t>
      </w:r>
    </w:p>
    <w:p w14:paraId="0259D3BE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размер и порядок поощрения наставника, который является представителем организации – бизнес-партнера, предприятия реального сектора экономики и социальной сферы (колледжи г. Москвы).</w:t>
      </w:r>
    </w:p>
    <w:p w14:paraId="4B1CC9F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Разные нематериальные формы стимулирования наставнической деятельности применяются на локальном уровне (Ленинградская область,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г. Санкт-Петербург).</w:t>
      </w:r>
    </w:p>
    <w:p w14:paraId="2A7D979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4) По данным экспресс-опроса, во всех субъектах Российской Федерации включены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ту или деятельность по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процессом внедрения и реализации целевой модели наставничества такие институциональные структуры, как ИПКРО, ЦНППМ ПР, ИРО и др.</w:t>
      </w:r>
    </w:p>
    <w:p w14:paraId="2F2DAB4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К наиболее распространенным видам деятельности относятся: </w:t>
      </w:r>
    </w:p>
    <w:p w14:paraId="06100BA6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разработка проектов нормативно-правовых актов для образовательных организаций по реализации системы наставничества, в том числе примерных положений о наставничестве, дорожных карт, методических рекомендаций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и др. (Республика Алтай, Краснодарский край, Архангельская, Брянская, Кировская, Смоленская, Тамбовская области и др.);</w:t>
      </w:r>
    </w:p>
    <w:p w14:paraId="309B9EC5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учебно-методическая деятельность, в том числе:</w:t>
      </w:r>
    </w:p>
    <w:p w14:paraId="5D26BFA2" w14:textId="77777777" w:rsidR="00870F78" w:rsidRPr="00993398" w:rsidRDefault="00870F78" w:rsidP="00870F7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реализация программ повышения квалификации педагогов – кандидатов в наставники на курсах повышения квалификации по теме «Наставничество» (Чеченская Республика, Алтайский, Краснодарский, Красноярский, Ставропольский края, Архангельская, Брянская, Кировская, Ленинградская, Псковская, Смоленская, Тамбовская области, г. Санкт-Петербург и др.);</w:t>
      </w:r>
    </w:p>
    <w:p w14:paraId="3292A26A" w14:textId="77777777" w:rsidR="00870F78" w:rsidRPr="00993398" w:rsidRDefault="00870F78" w:rsidP="00870F7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организация обучения руководителей образовательных организаций/управленческих команд по программе «Управленческое наставничество» и т.п. (Краснодарский край, Смоленская область и др.).</w:t>
      </w:r>
    </w:p>
    <w:p w14:paraId="3E6D79F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организационно-методическая деятельность, в том числе:</w:t>
      </w:r>
    </w:p>
    <w:p w14:paraId="08EC3706" w14:textId="77777777" w:rsidR="00870F78" w:rsidRPr="00993398" w:rsidRDefault="00870F78" w:rsidP="00870F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методическое сопровождение организаций, в которых ведется деятельность по реализации программ наставничества, организация и сопровождение стажировок для педагогических и управленческих кадров,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том числе на базе образовательных организаций, являющихся пилотными (Краснодарский, Красноярский, Ставропольский края, Брянская, Тамбовская области и др.);</w:t>
      </w:r>
    </w:p>
    <w:p w14:paraId="69078930" w14:textId="77777777" w:rsidR="00870F78" w:rsidRPr="00993398" w:rsidRDefault="00870F78" w:rsidP="00870F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формирование и сопровождение деятельности площадок для развития профессиональных педагогических сообществ, развитие сетевого взаимодействия педагогов, сопровождение деятельности образовательных организаций, являющихся инновационными площадками в области наставничества (Краснодарский, Ставропольский края, Брянская Саратовская, Тамбовская области и др.);</w:t>
      </w:r>
    </w:p>
    <w:p w14:paraId="6126F67D" w14:textId="77777777" w:rsidR="00870F78" w:rsidRPr="00993398" w:rsidRDefault="00870F78" w:rsidP="00870F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внедрение модели «горизонтального обучения» (Краснодарский край, Тамбовская область и др.);</w:t>
      </w:r>
    </w:p>
    <w:p w14:paraId="2ECB0383" w14:textId="77777777" w:rsidR="00870F78" w:rsidRPr="00993398" w:rsidRDefault="00870F78" w:rsidP="00870F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формирование регионального методического актива, привлечение членов актива к организации наставничества в образовательных организациях (Смоленская область и др.);</w:t>
      </w:r>
    </w:p>
    <w:p w14:paraId="3D5273DC" w14:textId="77777777" w:rsidR="00870F78" w:rsidRPr="00993398" w:rsidRDefault="00870F78" w:rsidP="00870F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реализация проекта адресной методической помощи общеобразовательным организациям с низкими образовательными результатами в школах – участникам проекта «500+» (Кировская, Смоленская области и др.);</w:t>
      </w:r>
    </w:p>
    <w:p w14:paraId="1F338C66" w14:textId="77777777" w:rsidR="00870F78" w:rsidRPr="00993398" w:rsidRDefault="00870F78" w:rsidP="00870F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>тьютерское</w:t>
      </w:r>
      <w:proofErr w:type="spellEnd"/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сопровождения педагогических работников и управленческих кадров (Ставропольский край, Тамбовская область);</w:t>
      </w:r>
    </w:p>
    <w:p w14:paraId="179DF7D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научно-методическая деятельность, в том числе:</w:t>
      </w:r>
    </w:p>
    <w:p w14:paraId="223A3506" w14:textId="77777777" w:rsidR="00870F78" w:rsidRPr="00993398" w:rsidRDefault="00870F78" w:rsidP="00870F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разработка программ повышения квалификации по вопросам организации наставничества;</w:t>
      </w:r>
    </w:p>
    <w:p w14:paraId="2E10DDF4" w14:textId="77777777" w:rsidR="00870F78" w:rsidRPr="00993398" w:rsidRDefault="00870F78" w:rsidP="00870F7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организация образовательных и научно-методических мероприятий, круглых столов, вебинаров, обучающих семинаров и т.п. по актуальным вопросам и представлению практик наставничества (Ставропольский Красноярский края, Архангельская, Кировская, Смоленская, Тамбовская области и др.);</w:t>
      </w:r>
    </w:p>
    <w:p w14:paraId="581FAB0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аналитическая деятельность, в том числе:</w:t>
      </w:r>
    </w:p>
    <w:p w14:paraId="51F075F8" w14:textId="77777777" w:rsidR="00870F78" w:rsidRPr="00993398" w:rsidRDefault="00870F78" w:rsidP="00870F7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мониторинг реализации системы наставничества и подготовка аналитических материалов по его итогам (Республика Алтай, Алтайский, Красноярский края, Архангельская, Брянская, Кировская, Ленинградская, Смоленская, Псковская, Челябинская области, г. Санкт-Петербург и др.);</w:t>
      </w:r>
    </w:p>
    <w:p w14:paraId="10EA89CE" w14:textId="77777777" w:rsidR="00870F78" w:rsidRPr="00993398" w:rsidRDefault="00870F78" w:rsidP="00870F7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диагностика профессиональных дефицитов педагогов, выстраивание индивидуальных маршрутов непрерывного повышения профессионального мастерства педагогических работников (Ставропольский край, Брянская, Кировская, Смоленская, Тамбовская области и др.);</w:t>
      </w:r>
    </w:p>
    <w:p w14:paraId="10B56E18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информационная деятельность, в том числе:</w:t>
      </w:r>
    </w:p>
    <w:p w14:paraId="1B4D426C" w14:textId="77777777" w:rsidR="00870F78" w:rsidRPr="00993398" w:rsidRDefault="00870F78" w:rsidP="00870F7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формирование информационных ресурсов: лучших практик наставничества, банка наставников и т.п. (Республика Алтай, Алтайский, Красноярский края, Архангельская, Брянская, Кировская, Ленинградская, Псковская, Тамбовская области, г. Санкт-Петербург и др.);</w:t>
      </w:r>
    </w:p>
    <w:p w14:paraId="7DF9E972" w14:textId="77777777" w:rsidR="00870F78" w:rsidRPr="00993398" w:rsidRDefault="00870F78" w:rsidP="00870F7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обеспечение онлайн-поддержки профессионального развития педагогических работников (Тамбовская область и др.);</w:t>
      </w:r>
    </w:p>
    <w:p w14:paraId="777DADCD" w14:textId="77777777" w:rsidR="00870F78" w:rsidRPr="00993398" w:rsidRDefault="00870F78" w:rsidP="00870F7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актуализация информации о возможностях для повышения квалификации педагогических и управленческих кадров по вопросам реализации ЦМН (Брянская область и др.);</w:t>
      </w:r>
    </w:p>
    <w:p w14:paraId="2B818730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консультационная деятельность, в том числе:</w:t>
      </w:r>
    </w:p>
    <w:p w14:paraId="232BFDB4" w14:textId="77777777" w:rsidR="00870F78" w:rsidRPr="00993398" w:rsidRDefault="00870F78" w:rsidP="00870F7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консультации индивидуальные и групповые, проведение инструктажа по вопросам реализации ЦМН, по вопросам информационного сопровождения реализации ЦМН (Республика Алтай, Ставропольский, Красноярский края, Архангельская, Брянская, Тамбовская области и др.);</w:t>
      </w:r>
    </w:p>
    <w:p w14:paraId="69B09DE2" w14:textId="77777777" w:rsidR="00870F78" w:rsidRPr="00993398" w:rsidRDefault="00870F78" w:rsidP="00870F7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обсуждение вопросов наставничества на «горячих линиях» (Смоленская область и др.).</w:t>
      </w:r>
    </w:p>
    <w:p w14:paraId="37A5C97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5) При реализации Целевой модели наставничества применяются следующие формы наставничества:</w:t>
      </w:r>
    </w:p>
    <w:p w14:paraId="6E2F607A" w14:textId="77777777" w:rsidR="00870F78" w:rsidRPr="00993398" w:rsidRDefault="00870F78" w:rsidP="00870F7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«педагог – педагог»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(Республики Алтай, Чеченская, Краснодарский, Красноярский, Ставропольский края, Архангельская, Брянская, Кировская, Ленинградская, Псковская, Саратовская, Смоленская, Тамбовская, Челябинская области, города Москва, Санкт-Петербург);</w:t>
      </w:r>
    </w:p>
    <w:p w14:paraId="2A951EA2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«опытный педагог – молодой педагог» (Краснодарский, Ставропольский края, Брянская, Ленинградская, Псковская области, города Москва, Санкт-Петербург);</w:t>
      </w:r>
    </w:p>
    <w:p w14:paraId="35C4FF80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>«лидер педагогического сообщества – педагог, испытывающий профессиональные затруднения в сфере коммуникации» (Краснодарский край);</w:t>
      </w:r>
    </w:p>
    <w:p w14:paraId="618A9263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«педагог – педагог, имеющий перерыв в педагогической работе более 2 лет» (Брянская область);</w:t>
      </w:r>
    </w:p>
    <w:p w14:paraId="1C1EC558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«педагог новатор – консервативный педагог» (Краснодарский край);</w:t>
      </w:r>
    </w:p>
    <w:p w14:paraId="63859197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«опытный предметник – неопытный предметник» (Краснодарский, Красноярский края);</w:t>
      </w:r>
    </w:p>
    <w:p w14:paraId="162F38C8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«педагог – группа молодых педагогов», т.е. групповое наставничество, при котором наставник руководит группой молодых педагогов (г. Москва);</w:t>
      </w:r>
    </w:p>
    <w:p w14:paraId="2CA20BDA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«коллектив педагогов – молодой педагог» / «</w:t>
      </w:r>
      <w:proofErr w:type="spellStart"/>
      <w:r w:rsidRPr="00993398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Pr="00993398">
        <w:rPr>
          <w:rFonts w:ascii="Times New Roman" w:eastAsia="Calibri" w:hAnsi="Times New Roman" w:cs="Times New Roman"/>
          <w:sz w:val="28"/>
          <w:szCs w:val="28"/>
        </w:rPr>
        <w:t>-общественное объединение молодых педагогов – молодой педагог», т.е. коллективно-индивидуальное наставничество, при котором наставничество над одним молодым педагогом осуществляет коллектив (группа) опытных педагогических работников (г. Москва);</w:t>
      </w:r>
    </w:p>
    <w:p w14:paraId="5FAD70B4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«группа педагогических работников – группа молодых педагогов», т.е. коллективно-групповое наставничество, при котором группа опытных педагогических работников осуществляет наставничество над группой молодых педагогов (г. Москва);</w:t>
      </w:r>
    </w:p>
    <w:p w14:paraId="1BC9804F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«преподаватель ВУЗа/колледжа – молодой педагог образовательной организации» (Краснодарский край, Саратовская область);</w:t>
      </w:r>
    </w:p>
    <w:p w14:paraId="1C4C2527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«преподаватель – преподаватель», «педагог – представитель работодателя» (Кировская область);</w:t>
      </w:r>
    </w:p>
    <w:p w14:paraId="303A0377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«социальный партнер – педагог образовательной организации»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СПО (Краснодарский край, Саратовская область);</w:t>
      </w:r>
    </w:p>
    <w:p w14:paraId="3CA3ABD8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«руководитель образовательной организации – педагог» (Республика Алтай, Краснодарский край, Брянская, Кировская, Саратовская, Смоленская, Тамбовская области);</w:t>
      </w:r>
    </w:p>
    <w:p w14:paraId="6E045F79" w14:textId="77777777" w:rsidR="00870F78" w:rsidRPr="00993398" w:rsidRDefault="00870F78" w:rsidP="00870F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«руководитель ОО – руководитель ОО» (Смоленская область);</w:t>
      </w:r>
    </w:p>
    <w:p w14:paraId="38CF9546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Формы педагогического наставничества, включающие студентов, обучающихся (Республика Алтай, Краснодарский, Ставропольский края, Брянская, Кировская, Псковская, Саратовская области), в том числе:</w:t>
      </w:r>
    </w:p>
    <w:p w14:paraId="0E9E8310" w14:textId="77777777" w:rsidR="00870F78" w:rsidRPr="00993398" w:rsidRDefault="00870F78" w:rsidP="00870F7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«методист дошкольной образовательной организации – студент педагогического колледжа» (Ставропольский край);</w:t>
      </w:r>
    </w:p>
    <w:p w14:paraId="7216AE1D" w14:textId="77777777" w:rsidR="00870F78" w:rsidRPr="00993398" w:rsidRDefault="00870F78" w:rsidP="00870F7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«преподаватель-методист – студент-практикант» (Кировская область);</w:t>
      </w:r>
    </w:p>
    <w:p w14:paraId="6B227C4E" w14:textId="77777777" w:rsidR="00870F78" w:rsidRPr="00993398" w:rsidRDefault="00870F78" w:rsidP="00870F7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«работодатель – студент» (Республика Алтай, Краснодарский, Ставропольский края, Кировская, Псковская, Саратовская области).</w:t>
      </w:r>
    </w:p>
    <w:p w14:paraId="25079A39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6) В качестве 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 </w:t>
      </w:r>
      <w:bookmarkStart w:id="4" w:name="_Hlk109834846"/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>оценивания эффективности реализации персонализированной программы наставничества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Pr="00993398">
        <w:rPr>
          <w:rFonts w:ascii="Times New Roman" w:eastAsia="Calibri" w:hAnsi="Times New Roman" w:cs="Times New Roman"/>
          <w:sz w:val="28"/>
          <w:szCs w:val="28"/>
        </w:rPr>
        <w:t>в субъектах Российской Федерации, принявших участие в экспресс-опросе Профсоюза, указаны следующие:</w:t>
      </w:r>
    </w:p>
    <w:p w14:paraId="2FB4471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>– анкетирование (республики Алтай, Чеченская, Краснодарский, Ставропольский края, Псковская область);</w:t>
      </w:r>
    </w:p>
    <w:p w14:paraId="3218E52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наблюдение (Республика Алтай, Ленинградская, Псковская области,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г. Санкт-Петербург);</w:t>
      </w:r>
    </w:p>
    <w:p w14:paraId="001CA75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опрос (Республика Алтай, Ленинградская, Псковская области,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г. Санкт-Петербург);</w:t>
      </w:r>
    </w:p>
    <w:p w14:paraId="664BC290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рейтинговая оценка (Псковская область);</w:t>
      </w:r>
    </w:p>
    <w:p w14:paraId="0373FCF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коллегиальная оценка наставляемых и наставников (Ленинградская область, г. Санкт-Петербург);</w:t>
      </w:r>
    </w:p>
    <w:p w14:paraId="13BD1C47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самооценка (Псковская область);</w:t>
      </w:r>
    </w:p>
    <w:p w14:paraId="58F2834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проведение итоговых мероприятий (конференция, семинар, круглый стол) по выявлению лучших практик наставничества и пополнение ими методической копилки педагогических практик, а также формирование банка данных наставников и наставляемых (Ставропольский край);</w:t>
      </w:r>
    </w:p>
    <w:p w14:paraId="6AA2BFB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формы оценивания, определяющиеся образовательными организациями самостоятельно (Кировская область, г. Москва). В то же время в г. Москве к числу применяемых инструментов наставничества относятся анкетирование, анализ ситуаций, тестирование, диагностирование на основе самооценки, собеседование, анализ занятий, творческие отчеты, «мозговой штурм», решение педагогических ситуаций и др.</w:t>
      </w:r>
    </w:p>
    <w:p w14:paraId="00A28F0E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Брянской и Саратовской областях диагностический инструментарий для оценивания эффективности реализации персонализированной программы наставничества находится в стадии разработки. В Смоленской области оценивание эффективности реализации персонализированной программы наставничества не введено в практику работу. </w:t>
      </w:r>
    </w:p>
    <w:p w14:paraId="7756B3F2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398">
        <w:rPr>
          <w:rFonts w:ascii="Times New Roman" w:eastAsia="Calibri" w:hAnsi="Times New Roman" w:cs="Times New Roman"/>
          <w:b/>
          <w:sz w:val="28"/>
          <w:szCs w:val="28"/>
        </w:rPr>
        <w:t>Ряд субъектов РФ указали также критерии, которые применяются при анализе эффективности реализации персонализированной программы наставничества.</w:t>
      </w:r>
    </w:p>
    <w:p w14:paraId="54423D08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Например, 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Краснодарском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рекомендовано использовать частично или полностью модель Дональда </w:t>
      </w:r>
      <w:proofErr w:type="spellStart"/>
      <w:r w:rsidRPr="00993398">
        <w:rPr>
          <w:rFonts w:ascii="Times New Roman" w:eastAsia="Calibri" w:hAnsi="Times New Roman" w:cs="Times New Roman"/>
          <w:sz w:val="28"/>
          <w:szCs w:val="28"/>
        </w:rPr>
        <w:t>Кирпатрика</w:t>
      </w:r>
      <w:proofErr w:type="spellEnd"/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, согласно которой для оценки показателей системы наставничества используются 4 критерия: </w:t>
      </w:r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>оценка эмоциональной удовлетворенности от обучения в рамках наставничества (анкетирование);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>оценка знаний, полученных во время реализации персонализированной программы наставничества;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>оценка изменения поведения и способа действий в проблемных ситуациях;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  <w:lang w:eastAsia="x-none"/>
        </w:rPr>
        <w:t>оценка результатов для образовательной организации.</w:t>
      </w:r>
    </w:p>
    <w:p w14:paraId="0C2C3380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Челябинской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также используются 4 критерия, по которым оценивается эффективность реализации программы наставничества: повышение уровня удовлетворенности всех участников программы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по наставничеству собственной работой и улучшение психоэмоционального состояния; рост числа специалистов, желающих продолжать свою работу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в качестве педагога в данном коллективе (образовательной организации); сокращение числа конфликтов в педагогическом и родительском сообществах; рост числа продуктов деятельности участников программы </w:t>
      </w: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>наставничества (статей, исследований, методических практик педагогов и т. п.).</w:t>
      </w:r>
    </w:p>
    <w:p w14:paraId="16C075F1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Республике Алтай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используются такие критерии, как 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t>оценка качества процесса реализации программы наставничества; оценка мотивационно-личностного, компетентностного профессионального роста участников, динамика образовательных результатов.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iCs/>
          <w:sz w:val="28"/>
          <w:szCs w:val="28"/>
        </w:rPr>
        <w:t>Методы, применяемые для оценки: наблюдение, опрос, анкетирование.</w:t>
      </w:r>
    </w:p>
    <w:p w14:paraId="70795A1E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398">
        <w:rPr>
          <w:rFonts w:ascii="Times New Roman" w:eastAsia="Calibri" w:hAnsi="Times New Roman" w:cs="Times New Roman"/>
          <w:iCs/>
          <w:sz w:val="28"/>
          <w:szCs w:val="28"/>
        </w:rPr>
        <w:t xml:space="preserve">7. На основании полученной по итогам экспресс-опроса информации </w:t>
      </w:r>
      <w:r w:rsidRPr="00993398">
        <w:rPr>
          <w:rFonts w:ascii="Times New Roman" w:eastAsia="Calibri" w:hAnsi="Times New Roman" w:cs="Times New Roman"/>
          <w:b/>
          <w:iCs/>
          <w:sz w:val="28"/>
          <w:szCs w:val="28"/>
        </w:rPr>
        <w:t>можно сделать следующие первоначальные выводы.</w:t>
      </w:r>
    </w:p>
    <w:p w14:paraId="7A831A3F" w14:textId="77777777" w:rsidR="00870F78" w:rsidRPr="00993398" w:rsidRDefault="00870F78" w:rsidP="00870F7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Во всех субъектах Российской Федерации, принявших участие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в экспресс-опросе Профсоюза, проводится разноплановая работа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по внедрению в субъектах Российской Федерации системы (целевой модели) наставничества педагогических работников в образовательных организациях общего, среднего профессионального, дополнительного образования детей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на региональном, муниципальном и локальном уровнях сферы образования:</w:t>
      </w:r>
    </w:p>
    <w:p w14:paraId="1292CBB7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993398">
        <w:rPr>
          <w:rFonts w:ascii="Times New Roman" w:eastAsia="Calibri" w:hAnsi="Times New Roman" w:cs="Times New Roman"/>
          <w:sz w:val="28"/>
          <w:szCs w:val="28"/>
        </w:rPr>
        <w:t>разработаны и приняты нормативно-правовые акты, регулирующие правоотношения в сфере наставничества;</w:t>
      </w:r>
    </w:p>
    <w:p w14:paraId="249DE374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определены материальные,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социальные и моральные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способы стимулирования наставнической деятельности;</w:t>
      </w:r>
    </w:p>
    <w:p w14:paraId="582BA6EA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помимо формы наставничества «педагог-педагог», применяемой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во всех субъектах Российской Федерации, применяется еще более десяти других форм;</w:t>
      </w:r>
    </w:p>
    <w:p w14:paraId="1DAF4DAE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– разработаны и применяются на практике различные формы оценивания эффективности реализации персонализированных программ наставничества;</w:t>
      </w:r>
    </w:p>
    <w:p w14:paraId="6943CA8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– в реализации мер по внедрению в субъектах Российской Федерации системы (целевой модели) наставничества педагогических работников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образовательных организациях общего, среднего профессионального, дополнительного образования детей принимают участие наряду с органами исполнительной власти субъектов Российской Федерации, осуществляющими государственное управление в сфере образования, органы местного самоуправления, региональные (межрегиональные) организации Профсоюза, руководители образовательных организаций и их первичные организации Профсоюза, при активном участии во всех субъектах Российской Федерации таких институциональных структур, как: ИПКРО, ЦНППМ ПР, ИРО и др.</w:t>
      </w:r>
    </w:p>
    <w:p w14:paraId="68BE61DB" w14:textId="77777777" w:rsidR="00870F78" w:rsidRPr="00993398" w:rsidRDefault="00870F78" w:rsidP="00870F78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Вместе с тем,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внедрению системы (целевой модели) наставничества педагогических работников в образовательных организациях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общего, среднего профессионального, дополнительного образования детей на региональном, муниципальном и локальном уровнях сферы образования во многих субъектах Российской Федерации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>еще только разворачивается и требует основательной правовой, организационно-методической и финансовой поддержки на всех уровнях управления.</w:t>
      </w:r>
    </w:p>
    <w:p w14:paraId="6ABCF835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В</w:t>
      </w:r>
      <w:r w:rsidRPr="009933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ряде субъектов Российской Федерации продолжается работа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по разработке (дополнению, изменению) нормативно-правовой базы, регулирующей правоотношения в сфере наставничества. </w:t>
      </w:r>
    </w:p>
    <w:p w14:paraId="6E8AE770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Например, в г. Москве до конца 2022 года планируется разработка и принятие модели наставничества педагогических работников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образовательных организациях.</w:t>
      </w:r>
    </w:p>
    <w:p w14:paraId="61DD99E3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В Красноярском крае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сентябре 2022 года Министерство образования Красноярского края планирует направить в краевые образовательные организации и муниципалитеты края пакет примерных локальных нормативных правовых актов, регулирующих правоотношения в сфере наставничества.</w:t>
      </w:r>
    </w:p>
    <w:p w14:paraId="0D659061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3398">
        <w:rPr>
          <w:rFonts w:ascii="Times New Roman" w:eastAsia="Calibri" w:hAnsi="Times New Roman" w:cs="Times New Roman"/>
          <w:i/>
          <w:iCs/>
          <w:sz w:val="28"/>
          <w:szCs w:val="28"/>
        </w:rPr>
        <w:t>Архангельской области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отдельных муниципальных образованиях утверждение и внедрение локальных нормативных актов планируется также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с сентября 2022 года, в том числе с учетом результатов </w:t>
      </w:r>
      <w:r w:rsidRPr="00993398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 xml:space="preserve">проведенных с 22 марта </w:t>
      </w:r>
      <w:r w:rsidRPr="00993398">
        <w:rPr>
          <w:rFonts w:ascii="Times New Roman" w:eastAsia="Calibri" w:hAnsi="Times New Roman" w:cs="Times New Roman"/>
          <w:sz w:val="28"/>
          <w:szCs w:val="28"/>
        </w:rPr>
        <w:t>2022 г.</w:t>
      </w:r>
      <w:r w:rsidRPr="00993398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 xml:space="preserve"> по 25 апреля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2022 г. </w:t>
      </w:r>
      <w:r w:rsidRPr="00993398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 xml:space="preserve">входного мониторинга «Внедрение системы (целевой модели) наставничества педагогических работников в образовательных организациях», а с 5 мая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2022 г. </w:t>
      </w:r>
      <w:r w:rsidRPr="00993398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 xml:space="preserve">по 21 мая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993398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>промежуточного мониторинга «О реализации системы наставничества в образовательных организациях Архангельской области», в которых</w:t>
      </w:r>
      <w:r w:rsidRPr="009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286 образовательных организаций 25 муниципальных образований Архангельской области.</w:t>
      </w:r>
      <w:r w:rsidRPr="00993398">
        <w:rPr>
          <w:rFonts w:ascii="Times New Roman" w:eastAsia="Calibri" w:hAnsi="Times New Roman" w:cs="Times New Roman"/>
          <w:spacing w:val="-6"/>
          <w:kern w:val="2"/>
          <w:sz w:val="28"/>
          <w:szCs w:val="28"/>
        </w:rPr>
        <w:t xml:space="preserve"> </w:t>
      </w:r>
    </w:p>
    <w:p w14:paraId="0C6096D5" w14:textId="77777777" w:rsidR="00870F78" w:rsidRPr="00993398" w:rsidRDefault="00870F78" w:rsidP="00870F78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Анализ принятых в субъектах Российской Федерации мер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материального (денежного)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93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тимулирования реализации системы (целевой модели) наставничества, </w:t>
      </w:r>
      <w:r w:rsidRPr="009933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том числе на региональном уровне, </w:t>
      </w:r>
      <w:r w:rsidRPr="00993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определяющих размеры выплат компенсационного характера, устанавливаемых работнику за осуществление наставнической деятельности, </w:t>
      </w:r>
      <w:r w:rsidRPr="009933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свидетельствует об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 xml:space="preserve">отсутствии единых подходов в части порядка и нормативно-правового сопровождения установления данных выплат. </w:t>
      </w:r>
    </w:p>
    <w:p w14:paraId="708728B1" w14:textId="77777777" w:rsidR="00870F78" w:rsidRPr="00993398" w:rsidRDefault="00870F78" w:rsidP="00870F78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398">
        <w:rPr>
          <w:rFonts w:ascii="Times New Roman" w:eastAsia="Calibri" w:hAnsi="Times New Roman" w:cs="Times New Roman"/>
          <w:b/>
          <w:sz w:val="28"/>
          <w:szCs w:val="28"/>
        </w:rPr>
        <w:t>В большинстве субъектов Российской Федерации, принявших участие в экспресс-опросе, порядок установления и размер данных выплат не определены на региональном уровне,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а устанавливаются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 xml:space="preserve">в отдельных муниципальных образованиях, а чаще – в отдельных образовательных организациях. Кроме того, даже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>в рамках одного субъекта РФ такие выплаты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 в отдельных муниципальных образованиях </w:t>
      </w:r>
      <w:r w:rsidRPr="00993398">
        <w:rPr>
          <w:rFonts w:ascii="Times New Roman" w:eastAsia="Calibri" w:hAnsi="Times New Roman" w:cs="Times New Roman"/>
          <w:b/>
          <w:sz w:val="28"/>
          <w:szCs w:val="28"/>
        </w:rPr>
        <w:t xml:space="preserve">могут быть отнесены как к компенсационным, так и к стимулирующим выплатам. </w:t>
      </w:r>
    </w:p>
    <w:p w14:paraId="0C30FACD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>Отсутствие единых подходов в части порядка и нормативно-правового сопровождения установления данных выплат подтверждает необходимость решения этих вопросов, в том числе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преддверии принятия решения </w:t>
      </w:r>
      <w:r w:rsidRPr="009933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 установлении</w:t>
      </w: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новой квалификационной категории «педагог-наставник».</w:t>
      </w:r>
    </w:p>
    <w:p w14:paraId="4E123E8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Именно поэтому Профсоюз в течение длительного времени, участвуя </w:t>
      </w:r>
      <w:r w:rsidRPr="009933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в разработке проекта нового </w:t>
      </w:r>
      <w:r w:rsidRPr="00993398">
        <w:rPr>
          <w:rFonts w:ascii="Times New Roman" w:eastAsia="Times New Roman" w:hAnsi="Times New Roman" w:cs="Times New Roman"/>
          <w:sz w:val="28"/>
          <w:szCs w:val="28"/>
        </w:rPr>
        <w:t xml:space="preserve">Порядка проведения аттестации педагогических работников организаций, осуществляющих образовательную деятельность, настаивает на включении в обязательном порядке в текст </w:t>
      </w:r>
      <w:proofErr w:type="gramStart"/>
      <w:r w:rsidRPr="00993398">
        <w:rPr>
          <w:rFonts w:ascii="Times New Roman" w:eastAsia="Times New Roman" w:hAnsi="Times New Roman" w:cs="Times New Roman"/>
          <w:sz w:val="28"/>
          <w:szCs w:val="28"/>
        </w:rPr>
        <w:t>Положения  вопросов</w:t>
      </w:r>
      <w:proofErr w:type="gramEnd"/>
      <w:r w:rsidRPr="00993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дифференциации оплаты труда педагогических работников, которая обеспечивается: </w:t>
      </w:r>
    </w:p>
    <w:p w14:paraId="2CF663EB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t xml:space="preserve">а) установлением выплат стимулирующего характера – за наличие первой или высшей квалификационной категории, размеры которых определяются с учетом объема их преподавательской (педагогической) работы; </w:t>
      </w:r>
    </w:p>
    <w:p w14:paraId="0363E6CC" w14:textId="77777777" w:rsidR="00870F78" w:rsidRPr="00993398" w:rsidRDefault="00870F78" w:rsidP="0087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установлением выплат компенсационного характера – за наличие квалификационных категорий «педагог-методист», «педагог-наставник» </w:t>
      </w:r>
      <w:r w:rsidRPr="00993398">
        <w:rPr>
          <w:rFonts w:ascii="Times New Roman" w:eastAsia="Calibri" w:hAnsi="Times New Roman" w:cs="Times New Roman"/>
          <w:sz w:val="28"/>
          <w:szCs w:val="28"/>
        </w:rPr>
        <w:br/>
        <w:t>в случае заключения с педагогическим работником дополнительного соглашения к трудовому договору о выполнении дополнительных обязанностей, связанных с методической работой или наставнической деятельностью, которые не входят в их должностные обязанности.</w:t>
      </w:r>
    </w:p>
    <w:p w14:paraId="5059FF58" w14:textId="03EBFDA1" w:rsidR="00870F78" w:rsidRDefault="00870F78" w:rsidP="00870F78">
      <w:r w:rsidRPr="00993398">
        <w:rPr>
          <w:rFonts w:ascii="Times New Roman" w:eastAsia="Calibri" w:hAnsi="Times New Roman" w:cs="Times New Roman"/>
          <w:sz w:val="28"/>
          <w:szCs w:val="28"/>
        </w:rPr>
        <w:t>Одновременно Профсоюз продолжает настаивать на включении этих видов выплат педагогическим работникам в перечень обязательных компенсационных и стимулирующих выплат при определении и утверждении требований к оплате труда педагогических работников Правительством Российской Федерации в соответствии с предоставленными ему полномочиями Федеральным законом № 362-ФЗ и соответственно статьей 144 Трудового кодекса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ии.</w:t>
      </w:r>
    </w:p>
    <w:p w14:paraId="6B440191" w14:textId="2AFD072C" w:rsidR="00637D0E" w:rsidRDefault="00637D0E"/>
    <w:p w14:paraId="6924C3A7" w14:textId="77777777" w:rsidR="00CD512E" w:rsidRDefault="00CD512E" w:rsidP="00CD512E">
      <w:pPr>
        <w:spacing w:before="120" w:after="0"/>
        <w:jc w:val="center"/>
        <w:rPr>
          <w:rFonts w:ascii="Monotype Corsiva" w:eastAsia="Trebuchet MS" w:hAnsi="Monotype Corsiva" w:cs="Times New Roman"/>
          <w:b/>
          <w:i/>
          <w:color w:val="FF0066"/>
          <w:sz w:val="36"/>
          <w:szCs w:val="72"/>
        </w:rPr>
      </w:pPr>
      <w:r>
        <w:rPr>
          <w:rFonts w:ascii="Monotype Corsiva" w:eastAsia="Trebuchet MS" w:hAnsi="Monotype Corsiva" w:cs="Times New Roman"/>
          <w:b/>
          <w:i/>
          <w:color w:val="FF0066"/>
          <w:sz w:val="36"/>
          <w:szCs w:val="72"/>
        </w:rPr>
        <w:t>КОНТАКТЫ:</w:t>
      </w:r>
    </w:p>
    <w:p w14:paraId="41F2ABC6" w14:textId="15B4A67F" w:rsidR="00637D0E" w:rsidRDefault="00637D0E"/>
    <w:p w14:paraId="12AD7018" w14:textId="77777777" w:rsidR="00637D0E" w:rsidRPr="0042045A" w:rsidRDefault="00637D0E" w:rsidP="00637D0E">
      <w:pPr>
        <w:spacing w:before="120" w:after="0"/>
        <w:rPr>
          <w:rFonts w:ascii="Monotype Corsiva" w:eastAsia="Trebuchet MS" w:hAnsi="Monotype Corsiva" w:cs="Times New Roman"/>
          <w:color w:val="0000CC"/>
          <w:sz w:val="32"/>
          <w:szCs w:val="32"/>
        </w:rPr>
      </w:pPr>
      <w:r w:rsidRPr="0042045A">
        <w:rPr>
          <w:color w:val="0000CC"/>
          <w:sz w:val="32"/>
          <w:szCs w:val="32"/>
        </w:rPr>
        <w:t xml:space="preserve">      </w:t>
      </w:r>
      <w:hyperlink r:id="rId6" w:history="1">
        <w:r w:rsidRPr="0042045A">
          <w:rPr>
            <w:rStyle w:val="a4"/>
            <w:rFonts w:ascii="Monotype Corsiva" w:eastAsia="Trebuchet MS" w:hAnsi="Monotype Corsiva" w:cs="Times New Roman"/>
            <w:color w:val="0000CC"/>
            <w:sz w:val="32"/>
            <w:szCs w:val="32"/>
            <w:lang w:val="en-US"/>
          </w:rPr>
          <w:t>www</w:t>
        </w:r>
        <w:r w:rsidRPr="0042045A">
          <w:rPr>
            <w:rStyle w:val="a4"/>
            <w:rFonts w:ascii="Monotype Corsiva" w:eastAsia="Trebuchet MS" w:hAnsi="Monotype Corsiva" w:cs="Times New Roman"/>
            <w:color w:val="0000CC"/>
            <w:sz w:val="32"/>
            <w:szCs w:val="32"/>
          </w:rPr>
          <w:t>.</w:t>
        </w:r>
        <w:proofErr w:type="spellStart"/>
        <w:r w:rsidRPr="0042045A">
          <w:rPr>
            <w:rStyle w:val="a4"/>
            <w:rFonts w:ascii="Monotype Corsiva" w:eastAsia="Trebuchet MS" w:hAnsi="Monotype Corsiva" w:cs="Times New Roman"/>
            <w:color w:val="0000CC"/>
            <w:sz w:val="32"/>
            <w:szCs w:val="32"/>
            <w:lang w:val="en-US"/>
          </w:rPr>
          <w:t>eseur</w:t>
        </w:r>
        <w:proofErr w:type="spellEnd"/>
        <w:r w:rsidRPr="0042045A">
          <w:rPr>
            <w:rStyle w:val="a4"/>
            <w:rFonts w:ascii="Monotype Corsiva" w:eastAsia="Trebuchet MS" w:hAnsi="Monotype Corsiva" w:cs="Times New Roman"/>
            <w:color w:val="0000CC"/>
            <w:sz w:val="32"/>
            <w:szCs w:val="32"/>
          </w:rPr>
          <w:t>.</w:t>
        </w:r>
        <w:proofErr w:type="spellStart"/>
        <w:r w:rsidRPr="0042045A">
          <w:rPr>
            <w:rStyle w:val="a4"/>
            <w:rFonts w:ascii="Monotype Corsiva" w:eastAsia="Trebuchet MS" w:hAnsi="Monotype Corsiva" w:cs="Times New Roman"/>
            <w:color w:val="0000CC"/>
            <w:sz w:val="32"/>
            <w:szCs w:val="32"/>
            <w:lang w:val="en-US"/>
          </w:rPr>
          <w:t>ru</w:t>
        </w:r>
        <w:proofErr w:type="spellEnd"/>
      </w:hyperlink>
      <w:r w:rsidRPr="0042045A">
        <w:rPr>
          <w:rFonts w:ascii="Monotype Corsiva" w:eastAsia="Trebuchet MS" w:hAnsi="Monotype Corsiva" w:cs="Times New Roman"/>
          <w:color w:val="0000CC"/>
          <w:sz w:val="32"/>
          <w:szCs w:val="32"/>
        </w:rPr>
        <w:t xml:space="preserve">                            </w:t>
      </w:r>
    </w:p>
    <w:p w14:paraId="22B20E1B" w14:textId="77777777" w:rsidR="00637D0E" w:rsidRPr="00637D0E" w:rsidRDefault="00637D0E" w:rsidP="00637D0E">
      <w:pPr>
        <w:spacing w:before="120" w:after="0"/>
        <w:rPr>
          <w:rFonts w:ascii="Monotype Corsiva" w:eastAsia="Trebuchet MS" w:hAnsi="Monotype Corsiva" w:cs="Times New Roman"/>
          <w:color w:val="0000CC"/>
          <w:sz w:val="32"/>
          <w:szCs w:val="32"/>
        </w:rPr>
      </w:pPr>
      <w:r w:rsidRPr="00637D0E">
        <w:rPr>
          <w:rFonts w:ascii="Monotype Corsiva" w:eastAsia="Trebuchet MS" w:hAnsi="Monotype Corsiva" w:cs="Times New Roman"/>
          <w:color w:val="0000CC"/>
          <w:sz w:val="32"/>
          <w:szCs w:val="32"/>
        </w:rPr>
        <w:t xml:space="preserve">                                                </w:t>
      </w:r>
      <w:hyperlink r:id="rId7" w:history="1">
        <w:r w:rsidRPr="004835F2">
          <w:rPr>
            <w:rFonts w:ascii="Monotype Corsiva" w:eastAsia="Trebuchet MS" w:hAnsi="Monotype Corsiva" w:cs="Times New Roman"/>
            <w:color w:val="0000CC"/>
            <w:sz w:val="32"/>
            <w:szCs w:val="32"/>
            <w:u w:val="single"/>
            <w:lang w:val="en-US"/>
          </w:rPr>
          <w:t>www</w:t>
        </w:r>
        <w:r w:rsidRPr="00637D0E">
          <w:rPr>
            <w:rFonts w:ascii="Monotype Corsiva" w:eastAsia="Trebuchet MS" w:hAnsi="Monotype Corsiva" w:cs="Times New Roman"/>
            <w:color w:val="0000CC"/>
            <w:sz w:val="32"/>
            <w:szCs w:val="32"/>
            <w:u w:val="single"/>
          </w:rPr>
          <w:t>.</w:t>
        </w:r>
        <w:proofErr w:type="spellStart"/>
        <w:r w:rsidRPr="004835F2">
          <w:rPr>
            <w:rFonts w:ascii="Monotype Corsiva" w:eastAsia="Trebuchet MS" w:hAnsi="Monotype Corsiva" w:cs="Times New Roman"/>
            <w:color w:val="0000CC"/>
            <w:sz w:val="32"/>
            <w:szCs w:val="32"/>
            <w:u w:val="single"/>
            <w:lang w:val="en-US"/>
          </w:rPr>
          <w:t>stvprofedu</w:t>
        </w:r>
        <w:proofErr w:type="spellEnd"/>
        <w:r w:rsidRPr="00637D0E">
          <w:rPr>
            <w:rFonts w:ascii="Monotype Corsiva" w:eastAsia="Trebuchet MS" w:hAnsi="Monotype Corsiva" w:cs="Times New Roman"/>
            <w:color w:val="0000CC"/>
            <w:sz w:val="32"/>
            <w:szCs w:val="32"/>
            <w:u w:val="single"/>
          </w:rPr>
          <w:t>.</w:t>
        </w:r>
        <w:proofErr w:type="spellStart"/>
        <w:r w:rsidRPr="004835F2">
          <w:rPr>
            <w:rFonts w:ascii="Monotype Corsiva" w:eastAsia="Trebuchet MS" w:hAnsi="Monotype Corsiva" w:cs="Times New Roman"/>
            <w:color w:val="0000CC"/>
            <w:sz w:val="32"/>
            <w:szCs w:val="32"/>
            <w:u w:val="single"/>
            <w:lang w:val="en-US"/>
          </w:rPr>
          <w:t>ru</w:t>
        </w:r>
        <w:proofErr w:type="spellEnd"/>
      </w:hyperlink>
      <w:r w:rsidRPr="00637D0E">
        <w:rPr>
          <w:rFonts w:ascii="Monotype Corsiva" w:eastAsia="Trebuchet MS" w:hAnsi="Monotype Corsiva" w:cs="Times New Roman"/>
          <w:color w:val="0000CC"/>
          <w:sz w:val="32"/>
          <w:szCs w:val="32"/>
        </w:rPr>
        <w:t xml:space="preserve">        </w:t>
      </w:r>
    </w:p>
    <w:p w14:paraId="23D3DCEE" w14:textId="77777777" w:rsidR="00637D0E" w:rsidRPr="004835F2" w:rsidRDefault="00637D0E" w:rsidP="00637D0E">
      <w:pPr>
        <w:spacing w:before="120" w:after="0"/>
        <w:rPr>
          <w:sz w:val="32"/>
          <w:szCs w:val="32"/>
          <w:lang w:val="en-US"/>
        </w:rPr>
      </w:pPr>
      <w:r w:rsidRPr="00637D0E">
        <w:rPr>
          <w:rFonts w:ascii="Monotype Corsiva" w:eastAsia="Trebuchet MS" w:hAnsi="Monotype Corsiva" w:cs="Times New Roman"/>
          <w:color w:val="0000CC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Monotype Corsiva" w:eastAsia="Trebuchet MS" w:hAnsi="Monotype Corsiva" w:cs="Times New Roman"/>
          <w:color w:val="0000CC"/>
          <w:sz w:val="32"/>
          <w:szCs w:val="32"/>
        </w:rPr>
        <w:t xml:space="preserve">         </w:t>
      </w:r>
      <w:r w:rsidRPr="00637D0E">
        <w:rPr>
          <w:rFonts w:ascii="Monotype Corsiva" w:eastAsia="Trebuchet MS" w:hAnsi="Monotype Corsiva" w:cs="Times New Roman"/>
          <w:color w:val="0000CC"/>
          <w:sz w:val="32"/>
          <w:szCs w:val="32"/>
        </w:rPr>
        <w:t xml:space="preserve"> </w:t>
      </w:r>
      <w:r w:rsidRPr="004835F2">
        <w:rPr>
          <w:rFonts w:ascii="Monotype Corsiva" w:eastAsia="Trebuchet MS" w:hAnsi="Monotype Corsiva" w:cs="Times New Roman"/>
          <w:color w:val="0000CC"/>
          <w:sz w:val="32"/>
          <w:szCs w:val="32"/>
          <w:u w:val="single"/>
          <w:lang w:val="en-US"/>
        </w:rPr>
        <w:t>vk.com/</w:t>
      </w:r>
      <w:proofErr w:type="spellStart"/>
      <w:r w:rsidRPr="004835F2">
        <w:rPr>
          <w:rFonts w:ascii="Monotype Corsiva" w:eastAsia="Trebuchet MS" w:hAnsi="Monotype Corsiva" w:cs="Times New Roman"/>
          <w:color w:val="0000CC"/>
          <w:sz w:val="32"/>
          <w:szCs w:val="32"/>
          <w:u w:val="single"/>
          <w:lang w:val="en-US"/>
        </w:rPr>
        <w:t>stvprofedu</w:t>
      </w:r>
      <w:proofErr w:type="spellEnd"/>
      <w:r w:rsidRPr="004835F2">
        <w:rPr>
          <w:rFonts w:ascii="Monotype Corsiva" w:eastAsia="Trebuchet MS" w:hAnsi="Monotype Corsiva" w:cs="Times New Roman"/>
          <w:color w:val="0000CC"/>
          <w:sz w:val="32"/>
          <w:szCs w:val="32"/>
          <w:u w:val="single"/>
          <w:lang w:val="en-US"/>
        </w:rPr>
        <w:t xml:space="preserve"> </w:t>
      </w:r>
    </w:p>
    <w:p w14:paraId="11CF5601" w14:textId="77777777" w:rsidR="00637D0E" w:rsidRPr="004835F2" w:rsidRDefault="00637D0E" w:rsidP="00637D0E">
      <w:pPr>
        <w:rPr>
          <w:sz w:val="32"/>
          <w:szCs w:val="32"/>
          <w:lang w:val="en-US"/>
        </w:rPr>
      </w:pPr>
    </w:p>
    <w:p w14:paraId="4E640843" w14:textId="77777777" w:rsidR="00637D0E" w:rsidRDefault="00637D0E"/>
    <w:sectPr w:rsidR="006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6A0"/>
    <w:multiLevelType w:val="hybridMultilevel"/>
    <w:tmpl w:val="F52642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AB1818"/>
    <w:multiLevelType w:val="hybridMultilevel"/>
    <w:tmpl w:val="6AE68F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B90579"/>
    <w:multiLevelType w:val="hybridMultilevel"/>
    <w:tmpl w:val="2BB8B6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6207DC"/>
    <w:multiLevelType w:val="hybridMultilevel"/>
    <w:tmpl w:val="4DAACCB6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936A30"/>
    <w:multiLevelType w:val="hybridMultilevel"/>
    <w:tmpl w:val="3F74D4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69011C"/>
    <w:multiLevelType w:val="hybridMultilevel"/>
    <w:tmpl w:val="9B521A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C52A3E"/>
    <w:multiLevelType w:val="hybridMultilevel"/>
    <w:tmpl w:val="843EE1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30197F"/>
    <w:multiLevelType w:val="hybridMultilevel"/>
    <w:tmpl w:val="D63676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246A91"/>
    <w:multiLevelType w:val="hybridMultilevel"/>
    <w:tmpl w:val="0338F9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EB59EF"/>
    <w:multiLevelType w:val="hybridMultilevel"/>
    <w:tmpl w:val="EE6A0D06"/>
    <w:lvl w:ilvl="0" w:tplc="23ACE9C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3507A"/>
    <w:multiLevelType w:val="hybridMultilevel"/>
    <w:tmpl w:val="218405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62335513">
    <w:abstractNumId w:val="6"/>
  </w:num>
  <w:num w:numId="2" w16cid:durableId="1238638474">
    <w:abstractNumId w:val="2"/>
  </w:num>
  <w:num w:numId="3" w16cid:durableId="623541085">
    <w:abstractNumId w:val="7"/>
  </w:num>
  <w:num w:numId="4" w16cid:durableId="1775127225">
    <w:abstractNumId w:val="8"/>
  </w:num>
  <w:num w:numId="5" w16cid:durableId="1662125783">
    <w:abstractNumId w:val="1"/>
  </w:num>
  <w:num w:numId="6" w16cid:durableId="591402820">
    <w:abstractNumId w:val="5"/>
  </w:num>
  <w:num w:numId="7" w16cid:durableId="1089472476">
    <w:abstractNumId w:val="10"/>
  </w:num>
  <w:num w:numId="8" w16cid:durableId="650063371">
    <w:abstractNumId w:val="0"/>
  </w:num>
  <w:num w:numId="9" w16cid:durableId="146097603">
    <w:abstractNumId w:val="3"/>
  </w:num>
  <w:num w:numId="10" w16cid:durableId="2136827641">
    <w:abstractNumId w:val="4"/>
  </w:num>
  <w:num w:numId="11" w16cid:durableId="918750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6"/>
    <w:rsid w:val="00637D0E"/>
    <w:rsid w:val="00870F78"/>
    <w:rsid w:val="008876D6"/>
    <w:rsid w:val="00C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BBCA"/>
  <w15:chartTrackingRefBased/>
  <w15:docId w15:val="{804B11CF-9EAF-409D-85F9-E890987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0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3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vpro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2022-08-19T07:55:00Z</dcterms:created>
  <dcterms:modified xsi:type="dcterms:W3CDTF">2022-08-23T10:03:00Z</dcterms:modified>
</cp:coreProperties>
</file>